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CD7F" w14:textId="77777777" w:rsidR="005E69B7" w:rsidRDefault="005E69B7" w:rsidP="007013A7">
      <w:pPr>
        <w:spacing w:line="360" w:lineRule="auto"/>
      </w:pPr>
      <w:r>
        <w:t>Persbericht</w:t>
      </w:r>
    </w:p>
    <w:p w14:paraId="672F7B0B" w14:textId="77777777" w:rsidR="005E69B7" w:rsidRPr="005E69B7" w:rsidRDefault="005E69B7" w:rsidP="007013A7">
      <w:pPr>
        <w:spacing w:line="360" w:lineRule="auto"/>
      </w:pPr>
      <w:r w:rsidRPr="005E69B7">
        <w:t>Doel: betrokkenen in de regio informeren over de implementatie van ZorgDomein en wijzen op de voordelen en mogelijkheden.</w:t>
      </w:r>
    </w:p>
    <w:p w14:paraId="23904338" w14:textId="77777777" w:rsidR="005E69B7" w:rsidRPr="005E69B7" w:rsidRDefault="005E69B7" w:rsidP="007013A7">
      <w:pPr>
        <w:spacing w:line="360" w:lineRule="auto"/>
      </w:pPr>
    </w:p>
    <w:p w14:paraId="706F763C" w14:textId="77777777" w:rsidR="005E69B7" w:rsidRPr="005E69B7" w:rsidRDefault="005E69B7" w:rsidP="007013A7">
      <w:pPr>
        <w:spacing w:line="360" w:lineRule="auto"/>
      </w:pPr>
    </w:p>
    <w:p w14:paraId="7F17D327" w14:textId="77777777" w:rsidR="005E69B7" w:rsidRPr="005E69B7" w:rsidRDefault="005E69B7" w:rsidP="007013A7">
      <w:pPr>
        <w:pStyle w:val="Kop1"/>
        <w:spacing w:line="360" w:lineRule="auto"/>
      </w:pPr>
      <w:r w:rsidRPr="005E69B7">
        <w:rPr>
          <w:highlight w:val="yellow"/>
        </w:rPr>
        <w:t>&lt;Naam zorginstelling&gt;</w:t>
      </w:r>
      <w:r>
        <w:t xml:space="preserve"> digitaliseert instroom verwijzingen </w:t>
      </w:r>
      <w:r w:rsidRPr="005E69B7">
        <w:t xml:space="preserve"> </w:t>
      </w:r>
    </w:p>
    <w:p w14:paraId="500C8D02" w14:textId="77777777" w:rsidR="005E69B7" w:rsidRPr="005E69B7" w:rsidRDefault="005E69B7" w:rsidP="007013A7">
      <w:pPr>
        <w:spacing w:line="360" w:lineRule="auto"/>
        <w:rPr>
          <w:b/>
        </w:rPr>
      </w:pPr>
      <w:r w:rsidRPr="00E516C6">
        <w:rPr>
          <w:b/>
          <w:i/>
          <w:highlight w:val="yellow"/>
        </w:rPr>
        <w:t>&lt;Plaats, datum&gt;</w:t>
      </w:r>
      <w:r>
        <w:rPr>
          <w:b/>
        </w:rPr>
        <w:t xml:space="preserve"> Verwijzers</w:t>
      </w:r>
      <w:r w:rsidRPr="005E69B7">
        <w:rPr>
          <w:b/>
        </w:rPr>
        <w:t xml:space="preserve"> in </w:t>
      </w:r>
      <w:r w:rsidRPr="00E516C6">
        <w:rPr>
          <w:b/>
          <w:highlight w:val="yellow"/>
        </w:rPr>
        <w:t>&lt;naam regio&gt;</w:t>
      </w:r>
      <w:r>
        <w:rPr>
          <w:b/>
        </w:rPr>
        <w:t xml:space="preserve"> kunnen vanaf vandaag </w:t>
      </w:r>
      <w:r w:rsidRPr="005E69B7">
        <w:rPr>
          <w:b/>
        </w:rPr>
        <w:t xml:space="preserve">eenvoudig digitaal verwijzen naar </w:t>
      </w:r>
      <w:r w:rsidRPr="00E516C6">
        <w:rPr>
          <w:b/>
          <w:highlight w:val="yellow"/>
        </w:rPr>
        <w:t>&lt;naam zorginstelling&gt;</w:t>
      </w:r>
      <w:r w:rsidRPr="005E69B7">
        <w:rPr>
          <w:b/>
        </w:rPr>
        <w:t xml:space="preserve"> in </w:t>
      </w:r>
      <w:r w:rsidRPr="00E516C6">
        <w:rPr>
          <w:b/>
          <w:highlight w:val="yellow"/>
        </w:rPr>
        <w:t>&lt;plaatsnaam&gt;</w:t>
      </w:r>
      <w:r w:rsidRPr="005E69B7">
        <w:rPr>
          <w:b/>
        </w:rPr>
        <w:t xml:space="preserve">. Om dit te bereiken, is </w:t>
      </w:r>
      <w:r w:rsidRPr="00E516C6">
        <w:rPr>
          <w:b/>
          <w:highlight w:val="yellow"/>
        </w:rPr>
        <w:t>&lt;naam zorginstelling&gt;</w:t>
      </w:r>
      <w:r>
        <w:rPr>
          <w:b/>
        </w:rPr>
        <w:t xml:space="preserve"> aangesloten </w:t>
      </w:r>
      <w:r w:rsidR="00D64B4A">
        <w:rPr>
          <w:b/>
        </w:rPr>
        <w:t xml:space="preserve">op </w:t>
      </w:r>
      <w:r>
        <w:rPr>
          <w:b/>
        </w:rPr>
        <w:t>het digitale zorgplatform</w:t>
      </w:r>
      <w:r w:rsidRPr="005E69B7">
        <w:rPr>
          <w:b/>
        </w:rPr>
        <w:t xml:space="preserve"> ZorgDomein. </w:t>
      </w:r>
    </w:p>
    <w:p w14:paraId="0C8A59BA" w14:textId="77777777" w:rsidR="005E69B7" w:rsidRDefault="005E69B7" w:rsidP="007013A7">
      <w:pPr>
        <w:spacing w:line="360" w:lineRule="auto"/>
      </w:pPr>
    </w:p>
    <w:p w14:paraId="32A0D970" w14:textId="77777777" w:rsidR="005E69B7" w:rsidRDefault="005E69B7" w:rsidP="007013A7">
      <w:pPr>
        <w:spacing w:line="360" w:lineRule="auto"/>
      </w:pPr>
      <w:r>
        <w:t>Op ZorgDomein is</w:t>
      </w:r>
      <w:r w:rsidRPr="005E69B7">
        <w:t xml:space="preserve"> bijna al het zorgaanbod van Nederland</w:t>
      </w:r>
      <w:r>
        <w:t xml:space="preserve"> te vinden</w:t>
      </w:r>
      <w:r w:rsidRPr="005E69B7">
        <w:t xml:space="preserve">. </w:t>
      </w:r>
      <w:r>
        <w:t xml:space="preserve">Het zorgaanbod van </w:t>
      </w:r>
      <w:r w:rsidRPr="00E516C6">
        <w:rPr>
          <w:highlight w:val="yellow"/>
        </w:rPr>
        <w:t>&lt;naam zorginstelling&gt;</w:t>
      </w:r>
      <w:r>
        <w:t xml:space="preserve"> is hier vanaf heden aan toegevoegd. Verwijzers (zoals huisartsen) </w:t>
      </w:r>
      <w:r w:rsidR="00D64B4A">
        <w:t xml:space="preserve">en hun patiënten </w:t>
      </w:r>
      <w:r>
        <w:t>hebben</w:t>
      </w:r>
      <w:r w:rsidR="00D64B4A">
        <w:t xml:space="preserve"> zo</w:t>
      </w:r>
      <w:r>
        <w:t xml:space="preserve"> inzicht in het beschikbare zorgaanbod</w:t>
      </w:r>
      <w:r w:rsidR="00D64B4A">
        <w:t xml:space="preserve"> én </w:t>
      </w:r>
      <w:r w:rsidR="00DF0C4F">
        <w:t xml:space="preserve">actuele </w:t>
      </w:r>
      <w:r w:rsidR="00D64B4A">
        <w:t>wachttijden. M</w:t>
      </w:r>
      <w:r w:rsidRPr="005E69B7">
        <w:t xml:space="preserve">et een paar kliks </w:t>
      </w:r>
      <w:r w:rsidR="00D64B4A">
        <w:t>kiezen zij</w:t>
      </w:r>
      <w:r>
        <w:t xml:space="preserve"> </w:t>
      </w:r>
      <w:r w:rsidR="00D64B4A">
        <w:t>passende vervolgzorg</w:t>
      </w:r>
      <w:r w:rsidRPr="005E69B7">
        <w:t xml:space="preserve">. </w:t>
      </w:r>
      <w:r w:rsidR="00D64B4A">
        <w:t>De verwijzing gaat</w:t>
      </w:r>
      <w:r>
        <w:t xml:space="preserve"> vervolgens digitaal, met alle benodigde patiëntinformatie vanuit het informatiesysteem</w:t>
      </w:r>
      <w:r w:rsidR="00DF0C4F">
        <w:t xml:space="preserve"> van de verwijzer</w:t>
      </w:r>
      <w:r w:rsidR="00D64B4A">
        <w:t xml:space="preserve"> naar </w:t>
      </w:r>
      <w:r w:rsidR="00D64B4A" w:rsidRPr="00E516C6">
        <w:rPr>
          <w:highlight w:val="yellow"/>
        </w:rPr>
        <w:t>&lt;naam zorginstelling&gt;</w:t>
      </w:r>
      <w:r w:rsidR="00D64B4A" w:rsidRPr="00E516C6">
        <w:t>.</w:t>
      </w:r>
      <w:r w:rsidR="00D64B4A">
        <w:t xml:space="preserve"> </w:t>
      </w:r>
    </w:p>
    <w:p w14:paraId="5FC25F40" w14:textId="77777777" w:rsidR="005E69B7" w:rsidRDefault="005E69B7" w:rsidP="007013A7">
      <w:pPr>
        <w:spacing w:line="360" w:lineRule="auto"/>
      </w:pPr>
    </w:p>
    <w:p w14:paraId="3ECCF19E" w14:textId="77777777" w:rsidR="00D64B4A" w:rsidRPr="005E69B7" w:rsidRDefault="00D64B4A" w:rsidP="007013A7">
      <w:pPr>
        <w:pStyle w:val="Kop2"/>
        <w:spacing w:line="360" w:lineRule="auto"/>
      </w:pPr>
      <w:r w:rsidRPr="005E69B7">
        <w:t xml:space="preserve">Betere voorbereiding  </w:t>
      </w:r>
    </w:p>
    <w:p w14:paraId="575E0C4B" w14:textId="77777777" w:rsidR="00734AEF" w:rsidRDefault="00D64B4A" w:rsidP="007013A7">
      <w:pPr>
        <w:spacing w:line="360" w:lineRule="auto"/>
      </w:pPr>
      <w:r w:rsidRPr="005E69B7">
        <w:t xml:space="preserve">Zo beschikt </w:t>
      </w:r>
      <w:r w:rsidR="00734AEF" w:rsidRPr="00E516C6">
        <w:rPr>
          <w:highlight w:val="yellow"/>
        </w:rPr>
        <w:t>&lt;naam</w:t>
      </w:r>
      <w:r w:rsidRPr="00E516C6">
        <w:rPr>
          <w:highlight w:val="yellow"/>
        </w:rPr>
        <w:t xml:space="preserve"> zorginstelling</w:t>
      </w:r>
      <w:r w:rsidR="00734AEF" w:rsidRPr="00E516C6">
        <w:rPr>
          <w:highlight w:val="yellow"/>
        </w:rPr>
        <w:t>&gt;</w:t>
      </w:r>
      <w:r w:rsidRPr="005E69B7">
        <w:t xml:space="preserve"> bij het maken van de afspraak over alle benodigde informatie om de patiënt op het juiste spreekuur in te plannen.</w:t>
      </w:r>
      <w:r w:rsidR="00734AEF">
        <w:t xml:space="preserve"> De afspraak zo gemaakt. En de patiënt ziet meteen welke informatie</w:t>
      </w:r>
      <w:r w:rsidR="00734AEF" w:rsidRPr="005E69B7">
        <w:t xml:space="preserve"> de eerste keer mee moet.</w:t>
      </w:r>
      <w:r w:rsidR="00DF0C4F">
        <w:t xml:space="preserve"> </w:t>
      </w:r>
      <w:r w:rsidR="00734AEF" w:rsidRPr="005E69B7">
        <w:t xml:space="preserve"> </w:t>
      </w:r>
    </w:p>
    <w:p w14:paraId="4E0A878A" w14:textId="77777777" w:rsidR="00DF0C4F" w:rsidRDefault="00DF0C4F" w:rsidP="007013A7">
      <w:pPr>
        <w:pBdr>
          <w:bottom w:val="single" w:sz="12" w:space="1" w:color="auto"/>
        </w:pBdr>
        <w:spacing w:line="360" w:lineRule="auto"/>
      </w:pPr>
    </w:p>
    <w:p w14:paraId="04FEA15D" w14:textId="77777777" w:rsidR="00E516C6" w:rsidRDefault="00E516C6" w:rsidP="007013A7">
      <w:pPr>
        <w:spacing w:line="360" w:lineRule="auto"/>
      </w:pPr>
    </w:p>
    <w:p w14:paraId="3781134D" w14:textId="77777777" w:rsidR="00DF0C4F" w:rsidRPr="00E516C6" w:rsidRDefault="00DF0C4F" w:rsidP="007013A7">
      <w:pPr>
        <w:spacing w:line="360" w:lineRule="auto"/>
        <w:rPr>
          <w:i/>
        </w:rPr>
      </w:pPr>
      <w:r w:rsidRPr="00E516C6">
        <w:rPr>
          <w:i/>
        </w:rPr>
        <w:t xml:space="preserve">Noot voor de redactie </w:t>
      </w:r>
    </w:p>
    <w:p w14:paraId="6DCE3262" w14:textId="77777777" w:rsidR="00DF0C4F" w:rsidRPr="00E516C6" w:rsidRDefault="00DF0C4F" w:rsidP="007013A7">
      <w:pPr>
        <w:spacing w:line="360" w:lineRule="auto"/>
        <w:rPr>
          <w:b/>
        </w:rPr>
      </w:pPr>
      <w:r w:rsidRPr="005E69B7">
        <w:rPr>
          <w:b/>
        </w:rPr>
        <w:t xml:space="preserve">Over </w:t>
      </w:r>
      <w:r w:rsidRPr="00E516C6">
        <w:rPr>
          <w:b/>
          <w:highlight w:val="yellow"/>
        </w:rPr>
        <w:t>&lt;naam zorginstelling&gt;</w:t>
      </w:r>
      <w:r w:rsidRPr="00E516C6">
        <w:rPr>
          <w:b/>
        </w:rPr>
        <w:t xml:space="preserve"> </w:t>
      </w:r>
    </w:p>
    <w:p w14:paraId="1A6FC966" w14:textId="77777777" w:rsidR="00DF0C4F" w:rsidRPr="005E69B7" w:rsidRDefault="00DF0C4F" w:rsidP="007013A7">
      <w:pPr>
        <w:spacing w:line="360" w:lineRule="auto"/>
      </w:pPr>
      <w:r w:rsidRPr="00E516C6">
        <w:rPr>
          <w:highlight w:val="yellow"/>
        </w:rPr>
        <w:t xml:space="preserve">In te vullen door zorginstelling zelf. </w:t>
      </w:r>
      <w:proofErr w:type="spellStart"/>
      <w:r w:rsidR="00E516C6" w:rsidRPr="00E516C6">
        <w:rPr>
          <w:highlight w:val="yellow"/>
        </w:rPr>
        <w:t>Incl</w:t>
      </w:r>
      <w:proofErr w:type="spellEnd"/>
      <w:r w:rsidR="00E516C6" w:rsidRPr="00E516C6">
        <w:rPr>
          <w:highlight w:val="yellow"/>
        </w:rPr>
        <w:t>: contactgegevens: [telefoonnummer], [mailadres], [</w:t>
      </w:r>
      <w:proofErr w:type="spellStart"/>
      <w:r w:rsidR="00E516C6" w:rsidRPr="00E516C6">
        <w:rPr>
          <w:highlight w:val="yellow"/>
        </w:rPr>
        <w:t>webiste</w:t>
      </w:r>
      <w:proofErr w:type="spellEnd"/>
      <w:r w:rsidR="00E516C6" w:rsidRPr="00E516C6">
        <w:rPr>
          <w:highlight w:val="yellow"/>
        </w:rPr>
        <w:t>].</w:t>
      </w:r>
      <w:r w:rsidR="00E516C6" w:rsidRPr="00E516C6">
        <w:t> </w:t>
      </w:r>
    </w:p>
    <w:p w14:paraId="4D8E01D4" w14:textId="77777777" w:rsidR="00DF0C4F" w:rsidRPr="005E69B7" w:rsidRDefault="00DF0C4F" w:rsidP="007013A7">
      <w:pPr>
        <w:spacing w:line="360" w:lineRule="auto"/>
      </w:pPr>
    </w:p>
    <w:p w14:paraId="5BE90F8F" w14:textId="77777777" w:rsidR="00DF0C4F" w:rsidRPr="005E69B7" w:rsidRDefault="00DF0C4F" w:rsidP="007013A7">
      <w:pPr>
        <w:spacing w:line="360" w:lineRule="auto"/>
        <w:rPr>
          <w:b/>
        </w:rPr>
      </w:pPr>
      <w:r w:rsidRPr="005E69B7">
        <w:rPr>
          <w:b/>
        </w:rPr>
        <w:t xml:space="preserve">Over ZorgDomein </w:t>
      </w:r>
    </w:p>
    <w:p w14:paraId="1706D038" w14:textId="77777777" w:rsidR="00E516C6" w:rsidRDefault="00DF0C4F" w:rsidP="007013A7">
      <w:pPr>
        <w:spacing w:line="360" w:lineRule="auto"/>
      </w:pPr>
      <w:r w:rsidRPr="005E69B7">
        <w:t xml:space="preserve">ZorgDomein </w:t>
      </w:r>
      <w:r>
        <w:t>is</w:t>
      </w:r>
      <w:r w:rsidRPr="005E69B7">
        <w:t xml:space="preserve"> een slim platform</w:t>
      </w:r>
      <w:r>
        <w:t xml:space="preserve"> dat al 18</w:t>
      </w:r>
      <w:r w:rsidRPr="005E69B7">
        <w:t xml:space="preserve"> jaar de zorgsector efficiënter en effectiever maakt. </w:t>
      </w:r>
      <w:r>
        <w:t xml:space="preserve">Door zorgvraag en zorgaanbod bij elkaar te brengen en veilige </w:t>
      </w:r>
      <w:r>
        <w:lastRenderedPageBreak/>
        <w:t xml:space="preserve">gegevensuitwisseling mogelijk te maken, kunnen processen efficiënt worden ingericht. Vrijwel alle ziekenhuizen en huisartsen werken al met ZorgDomein. Steeds meer zorginstellingen, paramedici en </w:t>
      </w:r>
      <w:proofErr w:type="spellStart"/>
      <w:r>
        <w:t>verwijzersgroepen</w:t>
      </w:r>
      <w:proofErr w:type="spellEnd"/>
      <w:r>
        <w:t xml:space="preserve"> sluiten aan. </w:t>
      </w:r>
      <w:hyperlink r:id="rId10" w:history="1">
        <w:r w:rsidRPr="00DF0C4F">
          <w:rPr>
            <w:rStyle w:val="Hyperlink"/>
          </w:rPr>
          <w:t>Lees meer</w:t>
        </w:r>
      </w:hyperlink>
      <w:r w:rsidR="00E516C6">
        <w:t xml:space="preserve"> of neem contact op met Fleur van Tellingen, communicatie specialist </w:t>
      </w:r>
    </w:p>
    <w:p w14:paraId="7B6EC410" w14:textId="77777777" w:rsidR="007F2328" w:rsidRPr="00531821" w:rsidRDefault="00E516C6" w:rsidP="007013A7">
      <w:pPr>
        <w:spacing w:line="360" w:lineRule="auto"/>
      </w:pPr>
      <w:r w:rsidRPr="00E516C6">
        <w:rPr>
          <w:b/>
        </w:rPr>
        <w:t>M</w:t>
      </w:r>
      <w:r>
        <w:t xml:space="preserve"> </w:t>
      </w:r>
      <w:hyperlink r:id="rId11" w:history="1">
        <w:r w:rsidRPr="005670FD">
          <w:rPr>
            <w:rStyle w:val="Hyperlink"/>
          </w:rPr>
          <w:t>tellingen@zorgdomein.nl</w:t>
        </w:r>
      </w:hyperlink>
      <w:r>
        <w:t xml:space="preserve">    </w:t>
      </w:r>
      <w:r w:rsidRPr="00E516C6">
        <w:rPr>
          <w:b/>
        </w:rPr>
        <w:t>T</w:t>
      </w:r>
      <w:r>
        <w:t xml:space="preserve">: </w:t>
      </w:r>
      <w:r w:rsidRPr="00E516C6">
        <w:t>06</w:t>
      </w:r>
      <w:r>
        <w:t xml:space="preserve"> </w:t>
      </w:r>
      <w:r w:rsidRPr="00E516C6">
        <w:t>14 698 120 / 020 471 38 17</w:t>
      </w:r>
      <w:r>
        <w:t xml:space="preserve">. </w:t>
      </w:r>
    </w:p>
    <w:sectPr w:rsidR="007F2328" w:rsidRPr="00531821" w:rsidSect="00E0668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985" w:right="1701" w:bottom="1814" w:left="1701" w:header="28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C6259" w14:textId="77777777" w:rsidR="005E69B7" w:rsidRDefault="005E69B7" w:rsidP="005E08C1">
      <w:pPr>
        <w:spacing w:line="240" w:lineRule="auto"/>
      </w:pPr>
      <w:r>
        <w:separator/>
      </w:r>
    </w:p>
  </w:endnote>
  <w:endnote w:type="continuationSeparator" w:id="0">
    <w:p w14:paraId="7D49AA8C" w14:textId="77777777" w:rsidR="005E69B7" w:rsidRDefault="005E69B7" w:rsidP="005E0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6215" w14:textId="77777777" w:rsidR="005E08C1" w:rsidRDefault="005E08C1">
    <w:pPr>
      <w:pStyle w:val="Voettekst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0" wp14:anchorId="4EB10820" wp14:editId="7891A031">
          <wp:simplePos x="0" y="0"/>
          <wp:positionH relativeFrom="margin">
            <wp:align>left</wp:align>
          </wp:positionH>
          <wp:positionV relativeFrom="page">
            <wp:posOffset>9947910</wp:posOffset>
          </wp:positionV>
          <wp:extent cx="2116800" cy="190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betert-zor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1011" w14:textId="77777777" w:rsidR="005E08C1" w:rsidRDefault="005E08C1">
    <w:pPr>
      <w:pStyle w:val="Voettekst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4D25499E" wp14:editId="2A86001A">
          <wp:simplePos x="0" y="0"/>
          <wp:positionH relativeFrom="margin">
            <wp:align>left</wp:align>
          </wp:positionH>
          <wp:positionV relativeFrom="page">
            <wp:posOffset>9947910</wp:posOffset>
          </wp:positionV>
          <wp:extent cx="2116800" cy="19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betert-zor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A434" w14:textId="77777777" w:rsidR="005E69B7" w:rsidRDefault="005E69B7" w:rsidP="005E08C1">
      <w:pPr>
        <w:spacing w:line="240" w:lineRule="auto"/>
      </w:pPr>
      <w:r>
        <w:separator/>
      </w:r>
    </w:p>
  </w:footnote>
  <w:footnote w:type="continuationSeparator" w:id="0">
    <w:p w14:paraId="37ED8F04" w14:textId="77777777" w:rsidR="005E69B7" w:rsidRDefault="005E69B7" w:rsidP="005E0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8230" w14:textId="77777777" w:rsidR="005E08C1" w:rsidRDefault="005E08C1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0" wp14:anchorId="3BD40D4E" wp14:editId="510F2FFE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594000" cy="810000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domein-vervol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8063" w14:textId="77777777" w:rsidR="005E08C1" w:rsidRDefault="0073734B" w:rsidP="00E06689">
    <w:r>
      <w:rPr>
        <w:noProof/>
        <w:lang w:val="en-US"/>
      </w:rPr>
      <w:drawing>
        <wp:anchor distT="0" distB="0" distL="114300" distR="114300" simplePos="0" relativeHeight="251666432" behindDoc="1" locked="1" layoutInCell="1" allowOverlap="1" wp14:anchorId="05BB7F93" wp14:editId="0519E2FA">
          <wp:simplePos x="0" y="0"/>
          <wp:positionH relativeFrom="page">
            <wp:align>center</wp:align>
          </wp:positionH>
          <wp:positionV relativeFrom="page">
            <wp:posOffset>179705</wp:posOffset>
          </wp:positionV>
          <wp:extent cx="594000" cy="81000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domein-vervol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11EA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6385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1FC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6AE3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260C81"/>
    <w:multiLevelType w:val="multilevel"/>
    <w:tmpl w:val="506A43BC"/>
    <w:numStyleLink w:val="StyleBulleted"/>
  </w:abstractNum>
  <w:abstractNum w:abstractNumId="5" w15:restartNumberingAfterBreak="0">
    <w:nsid w:val="081D6567"/>
    <w:multiLevelType w:val="hybridMultilevel"/>
    <w:tmpl w:val="CCF685E2"/>
    <w:lvl w:ilvl="0" w:tplc="3E14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4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83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EE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EC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F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21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830B8"/>
    <w:multiLevelType w:val="multilevel"/>
    <w:tmpl w:val="506A43BC"/>
    <w:styleLink w:val="StyleBulleted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680" w:hanging="34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907"/>
        </w:tabs>
        <w:ind w:left="680" w:hanging="34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</w:abstractNum>
  <w:abstractNum w:abstractNumId="7" w15:restartNumberingAfterBreak="0">
    <w:nsid w:val="230103FC"/>
    <w:multiLevelType w:val="singleLevel"/>
    <w:tmpl w:val="3A009D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E4689"/>
    <w:multiLevelType w:val="multilevel"/>
    <w:tmpl w:val="9F32F26C"/>
    <w:lvl w:ilvl="0">
      <w:start w:val="1"/>
      <w:numFmt w:val="decimal"/>
      <w:pStyle w:val="Lijstnummering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jstnummer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ijstnummering3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abstractNum w:abstractNumId="9" w15:restartNumberingAfterBreak="0">
    <w:nsid w:val="34EF6773"/>
    <w:multiLevelType w:val="multilevel"/>
    <w:tmpl w:val="506A43BC"/>
    <w:numStyleLink w:val="StyleBulleted"/>
  </w:abstractNum>
  <w:abstractNum w:abstractNumId="10" w15:restartNumberingAfterBreak="0">
    <w:nsid w:val="481E7871"/>
    <w:multiLevelType w:val="multilevel"/>
    <w:tmpl w:val="2F94B72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abstractNum w:abstractNumId="11" w15:restartNumberingAfterBreak="0">
    <w:nsid w:val="54D0670E"/>
    <w:multiLevelType w:val="multilevel"/>
    <w:tmpl w:val="506A43BC"/>
    <w:numStyleLink w:val="StyleBulleted"/>
  </w:abstractNum>
  <w:abstractNum w:abstractNumId="12" w15:restartNumberingAfterBreak="0">
    <w:nsid w:val="5D426A2A"/>
    <w:multiLevelType w:val="hybridMultilevel"/>
    <w:tmpl w:val="2E329CDE"/>
    <w:lvl w:ilvl="0" w:tplc="0B368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A3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C6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67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00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B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C7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1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D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31B0"/>
    <w:multiLevelType w:val="hybridMultilevel"/>
    <w:tmpl w:val="7A220AA0"/>
    <w:lvl w:ilvl="0" w:tplc="0ADCE0FE">
      <w:start w:val="1"/>
      <w:numFmt w:val="decimal"/>
      <w:pStyle w:val="Lijstalinea"/>
      <w:lvlText w:val="%1."/>
      <w:lvlJc w:val="left"/>
      <w:pPr>
        <w:ind w:left="1230" w:hanging="360"/>
      </w:pPr>
      <w:rPr>
        <w:rFonts w:hint="default"/>
      </w:rPr>
    </w:lvl>
    <w:lvl w:ilvl="1" w:tplc="067619D6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886072CC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5A34E8EA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E1A3F72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7AA45426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B82CE1C4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D5A7F8A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1AAA07E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630A3175"/>
    <w:multiLevelType w:val="hybridMultilevel"/>
    <w:tmpl w:val="30020D12"/>
    <w:lvl w:ilvl="0" w:tplc="C39A885E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DECC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486F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C086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0A1A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D80F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C865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7CE5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4215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62913"/>
    <w:multiLevelType w:val="hybridMultilevel"/>
    <w:tmpl w:val="E4229B88"/>
    <w:lvl w:ilvl="0" w:tplc="B0203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D3FEF"/>
    <w:multiLevelType w:val="multilevel"/>
    <w:tmpl w:val="2F94B72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B7"/>
    <w:rsid w:val="00043A91"/>
    <w:rsid w:val="000F3C71"/>
    <w:rsid w:val="004C2E83"/>
    <w:rsid w:val="00531821"/>
    <w:rsid w:val="005434B4"/>
    <w:rsid w:val="005E08C1"/>
    <w:rsid w:val="005E5F0D"/>
    <w:rsid w:val="005E69B7"/>
    <w:rsid w:val="00692C05"/>
    <w:rsid w:val="006A29CF"/>
    <w:rsid w:val="006F4915"/>
    <w:rsid w:val="007013A7"/>
    <w:rsid w:val="00732555"/>
    <w:rsid w:val="00734AEF"/>
    <w:rsid w:val="0073734B"/>
    <w:rsid w:val="00752F25"/>
    <w:rsid w:val="007876BC"/>
    <w:rsid w:val="007F2328"/>
    <w:rsid w:val="00A748E0"/>
    <w:rsid w:val="00B75954"/>
    <w:rsid w:val="00C01567"/>
    <w:rsid w:val="00C36601"/>
    <w:rsid w:val="00CB0D34"/>
    <w:rsid w:val="00D64B4A"/>
    <w:rsid w:val="00D80B40"/>
    <w:rsid w:val="00DF0C4F"/>
    <w:rsid w:val="00E06689"/>
    <w:rsid w:val="00E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12F7B"/>
  <w15:chartTrackingRefBased/>
  <w15:docId w15:val="{75F61F5D-0E1B-4F34-9C2F-FE4BB7A0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33333" w:themeColor="text1"/>
        <w:sz w:val="19"/>
        <w:szCs w:val="19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B40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1567"/>
    <w:pPr>
      <w:keepNext/>
      <w:keepLines/>
      <w:spacing w:after="400" w:line="480" w:lineRule="atLeast"/>
      <w:contextualSpacing/>
      <w:outlineLvl w:val="0"/>
    </w:pPr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C01567"/>
    <w:pPr>
      <w:keepNext/>
      <w:keepLines/>
      <w:spacing w:after="280" w:line="360" w:lineRule="atLeast"/>
      <w:contextualSpacing/>
      <w:outlineLvl w:val="1"/>
    </w:pPr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08C1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08C1"/>
  </w:style>
  <w:style w:type="paragraph" w:styleId="Voettekst">
    <w:name w:val="footer"/>
    <w:basedOn w:val="Standaard"/>
    <w:link w:val="VoettekstChar"/>
    <w:uiPriority w:val="99"/>
    <w:unhideWhenUsed/>
    <w:rsid w:val="005E08C1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8C1"/>
  </w:style>
  <w:style w:type="character" w:customStyle="1" w:styleId="Kop1Char">
    <w:name w:val="Kop 1 Char"/>
    <w:basedOn w:val="Standaardalinea-lettertype"/>
    <w:link w:val="Kop1"/>
    <w:uiPriority w:val="9"/>
    <w:rsid w:val="00C01567"/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1567"/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paragraph" w:styleId="Titel">
    <w:name w:val="Title"/>
    <w:basedOn w:val="Kop1"/>
    <w:next w:val="Standaard"/>
    <w:link w:val="TitelChar"/>
    <w:uiPriority w:val="10"/>
    <w:rsid w:val="00C01567"/>
  </w:style>
  <w:style w:type="character" w:customStyle="1" w:styleId="TitelChar">
    <w:name w:val="Titel Char"/>
    <w:basedOn w:val="Standaardalinea-lettertype"/>
    <w:link w:val="Titel"/>
    <w:uiPriority w:val="10"/>
    <w:rsid w:val="00C01567"/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paragraph" w:styleId="Ondertitel">
    <w:name w:val="Subtitle"/>
    <w:basedOn w:val="Kop2"/>
    <w:next w:val="Standaard"/>
    <w:link w:val="OndertitelChar"/>
    <w:uiPriority w:val="11"/>
    <w:rsid w:val="00C01567"/>
  </w:style>
  <w:style w:type="character" w:customStyle="1" w:styleId="OndertitelChar">
    <w:name w:val="Ondertitel Char"/>
    <w:basedOn w:val="Standaardalinea-lettertype"/>
    <w:link w:val="Ondertitel"/>
    <w:uiPriority w:val="11"/>
    <w:rsid w:val="00C01567"/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paragraph" w:styleId="Lijstalinea">
    <w:name w:val="List Paragraph"/>
    <w:basedOn w:val="Standaard"/>
    <w:uiPriority w:val="34"/>
    <w:rsid w:val="00C01567"/>
    <w:pPr>
      <w:numPr>
        <w:numId w:val="2"/>
      </w:numPr>
      <w:contextualSpacing/>
    </w:pPr>
  </w:style>
  <w:style w:type="numbering" w:customStyle="1" w:styleId="StyleBulleted">
    <w:name w:val="Style Bulleted"/>
    <w:basedOn w:val="Geenlijst"/>
    <w:rsid w:val="00C01567"/>
    <w:pPr>
      <w:numPr>
        <w:numId w:val="4"/>
      </w:numPr>
    </w:pPr>
  </w:style>
  <w:style w:type="paragraph" w:styleId="Lijstnummering">
    <w:name w:val="List Number"/>
    <w:basedOn w:val="Standaard"/>
    <w:uiPriority w:val="99"/>
    <w:unhideWhenUsed/>
    <w:qFormat/>
    <w:rsid w:val="00C01567"/>
    <w:pPr>
      <w:numPr>
        <w:numId w:val="10"/>
      </w:numPr>
      <w:contextualSpacing/>
    </w:pPr>
  </w:style>
  <w:style w:type="paragraph" w:styleId="Lijstopsomteken">
    <w:name w:val="List Bullet"/>
    <w:basedOn w:val="Standaard"/>
    <w:uiPriority w:val="99"/>
    <w:qFormat/>
    <w:rsid w:val="00C01567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C01567"/>
    <w:pPr>
      <w:numPr>
        <w:ilvl w:val="1"/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01567"/>
    <w:pPr>
      <w:numPr>
        <w:ilvl w:val="2"/>
        <w:numId w:val="10"/>
      </w:numPr>
      <w:contextualSpacing/>
    </w:pPr>
  </w:style>
  <w:style w:type="table" w:styleId="Tabelraster">
    <w:name w:val="Table Grid"/>
    <w:basedOn w:val="Standaardtabel"/>
    <w:uiPriority w:val="39"/>
    <w:rsid w:val="00E06689"/>
    <w:pPr>
      <w:spacing w:line="240" w:lineRule="auto"/>
    </w:pPr>
    <w:tblPr>
      <w:tblCellMar>
        <w:left w:w="0" w:type="dxa"/>
        <w:right w:w="0" w:type="dxa"/>
      </w:tblCellMar>
    </w:tblPr>
  </w:style>
  <w:style w:type="table" w:styleId="Rastertabel1licht-Accent1">
    <w:name w:val="Grid Table 1 Light Accent 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8" w:space="0" w:color="007DC8" w:themeColor="text2"/>
        <w:left w:val="single" w:sz="8" w:space="0" w:color="007DC8" w:themeColor="text2"/>
        <w:bottom w:val="single" w:sz="8" w:space="0" w:color="007DC8" w:themeColor="text2"/>
        <w:right w:val="single" w:sz="8" w:space="0" w:color="007DC8" w:themeColor="text2"/>
        <w:insideH w:val="single" w:sz="8" w:space="0" w:color="007DC8" w:themeColor="text2"/>
        <w:insideV w:val="single" w:sz="8" w:space="0" w:color="007DC8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8" w:space="0" w:color="45B8FF" w:themeColor="accent1" w:themeTint="99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45B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F9B99A" w:themeColor="accent2" w:themeTint="66"/>
        <w:left w:val="single" w:sz="4" w:space="0" w:color="F9B99A" w:themeColor="accent2" w:themeTint="66"/>
        <w:bottom w:val="single" w:sz="4" w:space="0" w:color="F9B99A" w:themeColor="accent2" w:themeTint="66"/>
        <w:right w:val="single" w:sz="4" w:space="0" w:color="F9B99A" w:themeColor="accent2" w:themeTint="66"/>
        <w:insideH w:val="single" w:sz="4" w:space="0" w:color="F9B99A" w:themeColor="accent2" w:themeTint="66"/>
        <w:insideV w:val="single" w:sz="4" w:space="0" w:color="F9B99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5">
    <w:name w:val="Plain Table 5"/>
    <w:basedOn w:val="Standaardtabel"/>
    <w:uiPriority w:val="45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CB0D3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1licht">
    <w:name w:val="List Table 1 Light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jsttabel2-Accent5">
    <w:name w:val="List Table 2 Accent 5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D8EBF6" w:themeColor="accent5" w:themeTint="99"/>
        <w:bottom w:val="single" w:sz="4" w:space="0" w:color="D8EBF6" w:themeColor="accent5" w:themeTint="99"/>
        <w:insideH w:val="single" w:sz="4" w:space="0" w:color="D8EBF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C" w:themeFill="accent5" w:themeFillTint="33"/>
      </w:tcPr>
    </w:tblStylePr>
    <w:tblStylePr w:type="band1Horz">
      <w:tblPr/>
      <w:tcPr>
        <w:shd w:val="clear" w:color="auto" w:fill="F2F8FC" w:themeFill="accent5" w:themeFillTint="33"/>
      </w:tcPr>
    </w:tblStylePr>
  </w:style>
  <w:style w:type="table" w:styleId="Lijsttabel2-Accent3">
    <w:name w:val="List Table 2 Accent 3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bottom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jsttabel2-Accent1">
    <w:name w:val="List Table 2 Accent 1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45B8FF" w:themeColor="accent1" w:themeTint="99"/>
        <w:bottom w:val="single" w:sz="4" w:space="0" w:color="45B8FF" w:themeColor="accent1" w:themeTint="99"/>
        <w:insideH w:val="single" w:sz="4" w:space="0" w:color="45B8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F" w:themeFill="accent1" w:themeFillTint="33"/>
      </w:tcPr>
    </w:tblStylePr>
    <w:tblStylePr w:type="band1Horz">
      <w:tblPr/>
      <w:tcPr>
        <w:shd w:val="clear" w:color="auto" w:fill="C1E7FF" w:themeFill="accent1" w:themeFillTint="33"/>
      </w:tcPr>
    </w:tblStylePr>
  </w:style>
  <w:style w:type="table" w:styleId="Lijsttabel2">
    <w:name w:val="List Table 2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B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B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F" w:themeFill="accent1" w:themeFillTint="33"/>
      </w:tcPr>
    </w:tblStylePr>
    <w:tblStylePr w:type="band1Horz">
      <w:tblPr/>
      <w:tcPr>
        <w:shd w:val="clear" w:color="auto" w:fill="C1E7FF" w:themeFill="accent1" w:themeFillTint="33"/>
      </w:tcPr>
    </w:tblStylePr>
  </w:style>
  <w:style w:type="table" w:customStyle="1" w:styleId="zorgdomein">
    <w:name w:val="zorgdomein"/>
    <w:basedOn w:val="Standaardtabel"/>
    <w:uiPriority w:val="99"/>
    <w:rsid w:val="00B75954"/>
    <w:pPr>
      <w:spacing w:line="240" w:lineRule="auto"/>
    </w:pPr>
    <w:tblPr>
      <w:tblBorders>
        <w:top w:val="single" w:sz="8" w:space="0" w:color="007DC8" w:themeColor="text2"/>
        <w:left w:val="single" w:sz="8" w:space="0" w:color="007DC8" w:themeColor="text2"/>
        <w:bottom w:val="single" w:sz="8" w:space="0" w:color="007DC8" w:themeColor="text2"/>
        <w:right w:val="single" w:sz="8" w:space="0" w:color="007DC8" w:themeColor="text2"/>
        <w:insideH w:val="single" w:sz="8" w:space="0" w:color="007DC8" w:themeColor="text2"/>
        <w:insideV w:val="single" w:sz="8" w:space="0" w:color="007DC8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</w:style>
  <w:style w:type="paragraph" w:customStyle="1" w:styleId="onderschriftafbeelding">
    <w:name w:val="onderschrift (afbeelding)"/>
    <w:basedOn w:val="Standaard"/>
    <w:qFormat/>
    <w:rsid w:val="007F2328"/>
    <w:pPr>
      <w:spacing w:before="60" w:after="120" w:line="240" w:lineRule="atLeast"/>
      <w:contextualSpacing/>
    </w:pPr>
    <w:rPr>
      <w:i/>
      <w:sz w:val="17"/>
    </w:rPr>
  </w:style>
  <w:style w:type="paragraph" w:customStyle="1" w:styleId="space">
    <w:name w:val="space"/>
    <w:basedOn w:val="Koptekst"/>
    <w:rsid w:val="00E06689"/>
    <w:rPr>
      <w:sz w:val="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C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C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C4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C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C4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C4F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DF0C4F"/>
    <w:rPr>
      <w:color w:val="E8540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0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llingen@zorgdomein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zorgdomein.com/abo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zorgdomein">
      <a:dk1>
        <a:srgbClr val="333333"/>
      </a:dk1>
      <a:lt1>
        <a:sysClr val="window" lastClr="FFFFFF"/>
      </a:lt1>
      <a:dk2>
        <a:srgbClr val="007DC8"/>
      </a:dk2>
      <a:lt2>
        <a:srgbClr val="FFFFFF"/>
      </a:lt2>
      <a:accent1>
        <a:srgbClr val="007DC8"/>
      </a:accent1>
      <a:accent2>
        <a:srgbClr val="E8540D"/>
      </a:accent2>
      <a:accent3>
        <a:srgbClr val="000000"/>
      </a:accent3>
      <a:accent4>
        <a:srgbClr val="EEE9E2"/>
      </a:accent4>
      <a:accent5>
        <a:srgbClr val="BFDFF1"/>
      </a:accent5>
      <a:accent6>
        <a:srgbClr val="007DC8"/>
      </a:accent6>
      <a:hlink>
        <a:srgbClr val="E8540D"/>
      </a:hlink>
      <a:folHlink>
        <a:srgbClr val="BFDFF1"/>
      </a:folHlink>
    </a:clrScheme>
    <a:fontScheme name="Zorgdomei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156FAA1679E4AB63883B008F19BB0" ma:contentTypeVersion="13" ma:contentTypeDescription="Een nieuw document maken." ma:contentTypeScope="" ma:versionID="77175516d492e509cbcdac021528009f">
  <xsd:schema xmlns:xsd="http://www.w3.org/2001/XMLSchema" xmlns:xs="http://www.w3.org/2001/XMLSchema" xmlns:p="http://schemas.microsoft.com/office/2006/metadata/properties" xmlns:ns3="be7cb085-62ac-46bc-bcca-e949fd81d46b" xmlns:ns4="d20c5622-d84b-4529-a33e-c9cd3d00fabd" targetNamespace="http://schemas.microsoft.com/office/2006/metadata/properties" ma:root="true" ma:fieldsID="a3534e19bd27cef285dd8456e59342ae" ns3:_="" ns4:_="">
    <xsd:import namespace="be7cb085-62ac-46bc-bcca-e949fd81d46b"/>
    <xsd:import namespace="d20c5622-d84b-4529-a33e-c9cd3d00f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b085-62ac-46bc-bcca-e949fd81d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5622-d84b-4529-a33e-c9cd3d00f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6001A-3A70-45CB-8E41-2426BF171D8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d20c5622-d84b-4529-a33e-c9cd3d00fabd"/>
    <ds:schemaRef ds:uri="http://purl.org/dc/terms/"/>
    <ds:schemaRef ds:uri="http://schemas.microsoft.com/office/infopath/2007/PartnerControls"/>
    <ds:schemaRef ds:uri="be7cb085-62ac-46bc-bcca-e949fd81d46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D75FA4-7E3E-49D3-A53A-86E0BE953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BB550-21D5-4AA5-A013-498ED1E20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cb085-62ac-46bc-bcca-e949fd81d46b"/>
    <ds:schemaRef ds:uri="d20c5622-d84b-4529-a33e-c9cd3d00f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Wietske Vergunst</dc:creator>
  <cp:keywords/>
  <dc:description/>
  <cp:lastModifiedBy>Karlijn Knitel</cp:lastModifiedBy>
  <cp:revision>2</cp:revision>
  <dcterms:created xsi:type="dcterms:W3CDTF">2020-08-11T11:07:00Z</dcterms:created>
  <dcterms:modified xsi:type="dcterms:W3CDTF">2020-08-11T11:07:00Z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0x010100841156FAA1679E4AB63883B008F19BB0</vt:lpwstr>
  </property>
</Properties>
</file>